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Томской области от 09.09.2019 оспариваемое постановление признано незаконным и отменено в связи с признанием правонарушения малозначительным. Постановлением Седьмого арбитражного апелляционного суда от 07.11.2019 решение суда первой инстанции отменено, в удовлетворении заявленных требований отказано. Определением Арбитражного суда Западно-Сибирского округа от 02.12.2019, оставленным без изменения определением того же суда от 15.01.2020, кассационная жалоба общества возвращена на основании пункта 1 части 1 статьи 281 Арбитражного процессуального кодекса Российской Федерации. Общество обратилось в Верховный Суд Российской Федерации с кассационной жалобой, в которой просит определения суда округа отменить, ссылаясь на допущенные, по его мнению, существенные нарушения норм процессуального права. При изучении доводов жалобы и принятых по делу судебных актов оснований для удовлетворения жалобы не установлено. Возвращая кассационную жалобу, суд округа исходил из положений части 5.1 статьи 211 Арбитражного процессуального кодекса Российской Федерации (в редакции, действующей в спорный момент). При этом суд округа указал, что, поскольку судом определено наказание в виде штрафа в размере 50 000 рублей, судебный акт может быть обжалован в арбитражный суд кассационной инстанции только по основаниям, предусмотренным частью 4 статьи 288 Арбитражного процессуального кодекса Российской Федерации, тогда как таких оснований судом округа не установлено. Вопреки доводам жалобы отсутствие в протоколе в письменной форме пояснений таможенного органа на вопрос общества не является основанием для безусловной отмены судебных актов. Согласно части 2 статьи 155 Арбитражного процессуального кодекса Российской Федерации протокол в письменной форме является дополнительным средством фиксирования данных о ходе судебного заседания, замечаний на протокол судебного заседания лицами, участвующими в деле, в порядке, предусмотренном частью 7 статьи 155 Арбитражного процессуального кодекса Российской Федерации, не заявлено. Доводов, подтверждающих существенные нарушения норм материального и процессуального права, которые могли повлиять на исход дела и являются достаточным основанием для пересмотра обжалуемых судебных актов в кассационном порядке, не приведено.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ООО "Вершина" (подробнее) Ответчики: ТОМСКАЯ ТАМОЖНЯ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