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13.01.2019, оставленным без изменения постановлением Девятого арбитражного апелляционного суда от 27.08.2019, иск удовлетворен. Арбитражный суд Московского округа постановлением от 11.11.2019 решение от 13.01.2019 и постановление Девятого арбитражного апелляционного суда от 27.08.2019 оставил без изменения. В кассационной жалобе банк просит об отмене судебных актов, ссылаясь на отсутствие надлежащей оценки поведения истца, выразившегося в получении исполнения от должника по основному обязательству.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требование о платеже по банковской гарантии от 19.12.2013 № KRO/7534 предъявлено в пределах срока ее действия и с приложением требуемых условиями гарантии документов, что в силу статей 375 и 376 Гражданского кодекса Российской Федерации не позволяло банку отказать в выплате. Заявленный в жалобе довод касается исполнения договора подряда, обсужден судами, противоречит статье 370 Гражданского кодекса Российской Федерации 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«Финансовая корпорация Открытие»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"БАНК "ФК"Открытие" (подробнее) ПАО "ФЕДЕРАЛЬНАЯ СЕТЕВАЯ КОМПАНИЯ ЕДИНОЙ ЭНЕРГЕТИЧЕСКОЙ СИСТЕМЫ" (подробнее) Ответчики: ПАО "БИНБАНК"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