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16.05.2019 иск удовлетворен частично. Постановлением Девятого арбитражного апелляционного суда от 02.08.2019, оставленным без изменения постановлением Арбитражного суда Московского округа от 11.11.2019, решение отменено, иск удовлетворен в полном объеме. В кассационной жалобе бюро просит об отмене судебных актов вследствие взыскания неустойки без вины.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Вина не является основанием ответственности за нарушение обязательства (пункт 3 статьи 401 Гражданского кодекса Российской Федерации). Исследовав обстоятельства исполнения договора от 10.09.2014 № 1418187312311020128002761/333/45-14, суды установили нарушение бюро (поставщиком) срока исполнения обязательства, поэтому на основании статей 309 , 310 , 329 , 330 Гражданского кодекса Российской Федерации признали требуемую заводом (заказчиком) неустойку обоснованной, подтвержденной по праву и размеру.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«Особое конструкторское бюро Московского энергетического института»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ОАО "Машиностроительный завод "Арсенал" (подробнее) Ответчики: АО "Особое конструкторское бюро Московского энергетического института"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