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Челябинской области от 16.05.2019 в удовлетворении иска отказано. Постановлением Восемнадцатого арбитражного апелляционного суда от 05.08.2019, оставленным без изменения постановлением Арбитражного суда Уральского округа от 15.11.2019, решение отменено, иск удовлетворен. В кассационной жалобе предприниматель просит о пересмотре судебных актов апелляционного и окружного судов как незаконных, ссылаясь ненадлежащую оценку судами доказательств оплаты товара.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разрешили спор по установленным фактам поставки обществом товара и неоплаты их предпринимателем, применив к ним статьи 309 , 310 , 330 , 454 , 486 , 506 , 516 Гражданского кодекса Российской Федерации. Товарный чек от 25.12.2017 № 12380 в качестве доказательства оценен судами и требуемая в жалобе переоценка этого документа не создает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ФИО2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К.Т.М. "Пирания" (подробнее) Судьи дела: Ксенофонтова Н.А. (судья) (подробнее) Судебная практика по: По договору поставки Судебная практика по применению норм ст. 506, 507 ГК РФ По договору купли продажи, договор купли продажи недвижимости Судебная практика по применению нормы ст. 454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