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Кемеровской области от 29.03.2019, оставленным без изменения постановлением Седьмого арбитражного апелляционного суда от 01.08.2019, иск удовлетворен. Арбитражный суд Западно-Сибирского округа постановлением от 07.11.2019 решение от 29.03.2019 и постановление Седьмого арбитражного апелляционного суда от 01.08.2019 оставил без изменения. В кассационной жалобе общество «СибирьУгольТрейд» просит об отмене судебных актов вследствие несоответствия выводов судов о наличии убытков в заявленной сумме и вине ответчика представленным доказательствам.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Необходимые в силу статей 15 , 393 Гражданского кодекса Российской Федерации условия для взыскания с ответчика заявленных убытков составили установленные в рамках рассматриваемого дела обстоятельства исполнения агентского договора от 29.07.2015 № шг-72 и установленные в деле № А27-1451/2018 Арбитражного суда Кемеровской области имеющие значение для разрешения данного дела обстоятельства. Вопросы оценки доказательств, на которых основаны доводы жалобы, не составляют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«СибирьУгольТрейд»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"Шахта Грамотеинская" (подробнее) Ответчики: ООО "Сибирьугольтрейд"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