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«Российский Сельскохозяйственный банк» (далее – банк, залоговый кредитор) обратилось в суд с заявлением о разрешении разногласий, возникших между банком и конкурсным управляющим Палюченко Татьяной Владимировной (далее – конкурсный управляющий), в котором просил установить распределение денежных средств, взысканных в пользу должника решением Арбитражного суда Сахалинской области от 25.12.2018 по делу № А59-453/2017, в порядке, предусмотренном статьёй 138 Федерального закона от 26.10.2002 № 127-ФЗ «О несостоятельности (банкротстве)» (далее – Закон о банкротстве), направив 95% денежных средств банку, требования которого обеспечены залогом, и 5% – на текущие расходы. Определением Арбитражного суда Сахалинской области от 06.06.2019, оставленным без изменения постановлением Пятого арбитражного апелляционного суда от 26.08.2019, разногласия разрешены в пользу конкурсного управляющего с указанием на распределение денежных средств в сумме 44 466 179 рублей 72 копеек в соответствии со статьёй 134 Закона о банкротстве без применения правил статьи 138 указанного Федерального закона. Постановлением Арбитражного суда Дальневосточного округа от 22.10.2019 судебные акты изменены. Разногласия разрешены в пользу 2 залогового кредитора с указанием на распределение названной суммы денежных средств в соответствии с положениями статьи 138 Закона о банкротстве.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14.01.2020 материалы дела истребованы из Арбитражного суда Сахалинской области. При изучении доводов кассационной жалобы по материалам истребованного дела, поступившего в Верховный Суд Российской Федерации 04.02.2020,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27.08.2014 между муниципальным казённым учреждением городского округа «Город Южно-Сахалинск» (заказчиком) и должником (подрядчиком) заключен муниципальный контракт № 032-144-144 на выполнение работ по строительству «под ключ» объекта: «Реконструкция и строительство распределительных сетей муниципальных образований» (строительство подстанций 35 кВ и линий электропередачи в г. Южно-Сахалинске) (далее – муниципальный контракт) на сумму 801 370 210 рублей. 11.11.2014 в рамках и во исполнение подрядчиком своих обязательств по муниципальному контракту между должником и обществом (субподрядчиком) заключен договор субподряда № 208-14суб (далее – договор субподряда) с ориентировочной стоимостью работ в размере 657 123 400 рублей. 30.12.2014 между должником (заёмщиком) и банком подписан кредитный договор №147200/0102, по которому должник получил от банка денежные средства в размере 196 000 000 рублей под 25 % процентов годовых со сроком возврата до 30.11.2015 на финансирование своих затрат по муниципальному контракту. Исполнение обязательств заёмщика перед банком обеспечено договором №147200/0102-21.1 о последующем залоге имущественных прав (прав по контракту) от 30.12.2014 (далее – договор залога). По условиям данной 3 обеспечительной сделки залог обеспечивает исполнение заёмщиком обязательства по возврату кредита, уплате процентов за пользование кредитом, уплате комиссий и неустоек (пеней и/или штрафов), возмещению расходов залогодержателя по обращению взыскания на заложенное имущество и его реализации (пункт 2.1. договора залога). По договору залога банку как залогодержателю были переданы следующие имущественные права (требования), которые возникли и возникнут у залогодателя (должника) по муниципальному контракту: права на получение оплаты (в том числе авансовые платежи) в размере 801 370 210 рублей за выполнение работ по реконструкции и строительству распределительных электрических сетей муниципальных образований (строительство подстанций 35 кВ и линий электропередачи в г. Южно-Сахалинске), на получение неустойки за просрочку оплаты, на получение компенсации расходов на оплату услуг охраны строительной площадки, иных платежей, которые могут возникнуть у залогодателя по муниципальному контракту (пункт 3.1. договора залога). Определением Арбитражного суда Сахалинской области от 29.06.2015 по настоящему делу в отношении должника введена процедура наблюдения, а решением суда от 18.05.2017 должник признан несостоятельным (банкротом), в отношении него открыто конкурсное производство, конкурсным управляющим утверждена Павлюченко Т.В. Определением Арбитражного суда Сахалинской области от 14.10.2015 по настоящему делу признаны обоснованными и включены в реестр требований кредиторов должника требования банка в размере 206 718 050 рублей 21 копейки, из которых: 196 000 000 рублей – основной долг, 10 588 416 рублей 35 копеек – проценты за пользование кредитом, 129 633 рубля 86 копеек – пеня. Указанные требования банка включены в реестр как обеспеченные залогом имущественных прав по муниципальному контракту. Решением Арбитражного суда Сахалинской области от 25.12.2018 по делу № А59-453/2017 удовлетворён иск должника о взыскании с субподрядчика 44 466 179 рублей 72 копеек неотработанного аванса по договору субподряда, в связи с чем между залоговым кредитором и конкурсным управляющим возникли разногласия о порядке распределения денежных средств, поступивших в конкурсную массу должника. Разрешая разногласия в пользу конкурсного управляющего, суды первой и апелляционной инстанций руководствовались статьями 336, 339, 358.1, 358.3 Гражданского кодекса Российской Федерации и пришли к выводу о том, что на указанные денежные средства не распространяется режим залога в пользу банка, поскольку предметом договора залога являются имущественные права должника-залогодателя на получение от муниципального заказчика платежей в связи с исполнением своих обязательств подрядчика по муниципальному контракту, а имущественные права подрядчика по договору субподряда не являются предметом договора залога. Суд округа признал данные выводы ошибочными, поскольку из условий договора субподряда следует, что он заключен в рамках и во исполнение 4 обязательств по муниципальному контракту. То есть право требования с контрагента – субподрядчика (имущественное право) возникло у подрядчика именно в связи с заключением муниципального контракта, имущественные права по которому находятся в залоге у банка. Выражая несогласие с обжалуемым постановлением, заявитель указывает на ошибочное распространение судом округа режима залога в пользу банка на поступившее должнику незаложенное имущество (денежные средства), поскольку имущественные права подрядчика, во исполнение которых в его пользу взыскана сумма неотработанного аванса, не входят в предмет залога, указанного в договоре залога с банком. В соответствии с пунктом 1 статьи 358.3 Гражданского кодекса Российской Федерации, существенными условиями договора залога права наряду с условиями, предусмотренными статьей 339 Гражданского кодекса Российской Федерации, являются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 По мнению заявителя, подход суда округа к разрешению разногласий предоставляет банку необоснованные преимущества за счёт нарушения прав текущих кредиторов, в том числе прав общества как первого текущего кредитора должника.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закрытого акционерного общества «Группа компаний «Электрощит» – ТМ Самара»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марта 2020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