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Ярославской области от 17.02.2019, оставленным без изменения постановлением Второго арбитражного апелляционного суда от 08.07.2019 и постановлением Арбитражного суда Волго-Вятского округа от 26.11.2019, иск удовлетворен частично. В кассационной жалобе компания просит об отмене указанных судебных актов, ссылаясь на собственные действия завода в качестве причины возникновения убытков, установленной в рамках других судебных дел.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Условия, необходимые в силу статей 15 , 393 Гражданского кодекса Российской Федерации для взыскания заявленных заводом убытков вследствие ненадлежащего исполнения компанией договора от 01.02.2013 № СТ-037, подлежали установлению судами в рамках настоящего дела и установлены. Переоценка выводов судов в отношении условий применения ответственности не составляет оснований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«Холдинговая компания «Станкоинвест»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"УГРЕШСКИЙ ЗАВОД ТРУБОПРОВОДНОЙ АРМАТУРЫ" (подробнее) Ответчики: ООО Холдинговая компания "Станкоинвест"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