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Республики Крым от 24.12.2018 в удовлетворении заявления отказано. Двадцать первый арбитражный апелляционный суд постановлением от 16.05.2019 отменил определение от 24.12.2018, произвел процессуальную замену публичного акционерного общества «Райффайзен Банк Аваль» на фонд и восстановил срок для предъявления исполнительного листа. Арбитражный суд Центрального округа постановлением от 05.11.2019 отменил определение от 24.12.2018 и постановление Двадцать первого арбитражного апелляционного суда от 16.05.2019 в связи с неисследованием имеющих значение для разрешения дела обстоятельств, направил дело на новое рассмотрение в Арбитражный суд Республики Крым. В кассационной жалобе фонд просит об отмене постановления окружного суда, ссылаясь на нарушения норм материального и процессуального права.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Отмена судебных актов нижестоящих инстанций в связи с неустановлением необходимых для правильного разрешения спора обстоятельств находится в пределах полномочий, предоставленных суду округа статьями 286, 287 Арбитражного процессуального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автономной некоммерческой организации «Фонд защиты вкладчиков»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