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обратилось в суд с заявлением о признании должника несостоятельным (банкротом). Определением Арбитражного суда Иркутской области от 27.06.2019, оставленным без изменения постановлением Четвертого арбитражного апелляционного суда от 19.08.2019, заявление признано обоснованным, в отношении должника введена процедура наблюдения, временным управляющим утвержден Румянцев Евгений Владимирович, требование общества признано обоснованным и подлежащим включению в третью очередь реестра требований кредиторов должника в размере 30 000 200 рублей 90 копеек. Постановлением Арбитражного суда Восточно-Сибирского округа от 08.11.2019 отменены определение суда первой инстанции от 27.06.2019 и постановление апелляционного суда от 19.08.2019 в части утверждения кандидатуры временного управляющего Румянцева Е.В., в отмененной части дело направлено на новое рассмотрение в Арбитражный суд Иркутской области, в остальной части обжалуемые судебные акты оставлены без изменения. В кассационной жалобе, поданной в Верховный Суд Российской Федерации, заявитель просит отменить постановление суда округа в части, 2 оставить в силе определение суда первой инстанции и постановление апелляционного суда.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Направляя вопрос об утверждении кандидатуры временного управляющего на новое рассмотрение, суд округа, руководствуясь позицией, изложенной в пункте 27.1 Обзора судебной практики по вопросам, связанным с участием уполномоченных органов в делах о банкротстве и применяемых в этих делах процедурах банкротства, утверждённого Президиумом Верховного Суда Российской Федерации от 20.12.2016, исходил из того, что принятые по спору судебные акты в указанной части вынесены без надлежащего исследования всех доказательств и фактических обстоятельств, имеющих существенное значение для правильного разрешения спора. При новом рассмотрении судам необходимо установить наличие или отсутствие заинтересованности между обществом и должником, дать надлежащую оценку доводам о наличии признаков заинтересованности указанных лиц. Обжалуемое постановление принято в пределах полномочий, предоставленных суду кассационной инстанции (статья 287 Арбитражного процессуального кодекса Российской Федерации). Содержащиеся в нём выводы соответствуют нормам права, оснований для переоценки этих выводов не имеется. В связи с тем, что вопрос об удовлетворении либо отказе в удовлетворении требований в обжалуемой части арбитражным судом округа не был окончательно разрешён, заявитель не лишён возможности при новом рассмотрении спора изложить свои доводы со ссылками на нормы права и имеющиеся доказательства.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«Техносиббайкал»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