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20.05.2019, оставленным без изменения постановлением Пятнадцатого арбитражного апелляционного суда от 24.07.2019 и постановлением Арбитражного суда Северо-Кавказского округа от 08.11.2019, иск удовлетворен. В кассационной жалобе предприятие просит об отмене судебных актов, ссылаясь на отсутствие права на применение ответственности в виде штрафа исходя из безвозмездного характера контрактов и возможности одностороннего отказа от исполнения контрактов за вменяемые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за неисполнение обязательства в рамках муниципальных контрактов, не имеющего стоимостной оценки, согласован штраф в твердой сумме, который является предметом иска и взыскан в соответствии с условиями контрактов и обстоятельствами их исполнения.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«Муниципальная транспортная компания «Ростовпассажиртранс»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Департамент транспорта города Ростова-на-Дону (подробнее) Ответчики: МУП "Муниципальная Транспортная Компания "Ростовпассажиртранс"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