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14.06.2018, оставленным без изменения постановлением Тринадцатого арбитражного апелляционного суда от 23.09.2019, в удовлетворении исковых требований отказано. Постановлением Арбитражного суда Северо-Западного округа от 19.12.2019 указанные судебные акты оставлены без изменения. В кассационной жалобе, поступившей в Верховный Суд Российской Федерации, фонд просит отменить названные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Оценив представленные доказательства, руководствуясь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суды пришли к вводу об отсутствии причинно-следственной связи между фактом причинения убытков и действиями страхователя по предоставлению сведений индивидуального (персонифицированного) учета по форме СЗВ-М за октябрь 2016 года, в связи с чем отказали в удовлетворении требований. При этом суды исходили из того, что на дату осуществления спорных выплат фонд располагал сведениями в отношении работающего пенсионера и имел возможность правильно определить размер пенсии, причитающейся к выплате.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Невском районе Санкт-Петербурга (подробнее) Ответчики: Санкт-ПетербургСКОЕ ГОСУДАРСТВЕННОЕ АВТОНОМНОЕ УЧРЕЖДЕНИЕ ЗДРАВООХРАНЕНИЯ "ГОРОДСКАЯ ПОЛИКЛИНИКА №40" (подробнее) Иные лица: МИФНС №10 по Санкт-Петербургу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