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19.04.2019, оставленным без изменения постановлением Девятого арбитражного апелляционного суда от 15.07.2019 и постановлением Арбитражного суда Московского округа от 28.10.2019, взыскано 500 000 рублей неустойки. В кассационной жалобе общество «Первая Грузовая Компания» просит отменить судебные акты вследствие уменьшения неустойки без обоснованного заявления ответчика.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влияющих на размер неустойки (статья 333 Гражданского кодекса Российской Федерации) в пределах данного дела,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«Первая Грузовая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"Первая грузовая компания" (подробнее) Ответчики: АО ЕВРОЦЕМЕНТ груп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