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03.06.2019, оставленным без изменения постановлением Пятнадцатого арбитражного апелляционного суда от 06.08.2019 и постановлением Арбитражного суда Северо-Кавказского округа от 27.11.2019, иск удовлетворен. В кассационной жалобе общество просит об отмене судебных актов, ссылаясь на отсутствие права на применение ответственности в виде штрафа исходя из безвозмездного характера контрактов и возможности одностороннего отказа от исполнения контрактов за вменяемые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 неисполнение обязательства в рамках муниципальных контрактов, не имеющего стоимостной оценки, согласован штраф в твердой сумме, который является предметом иска и взыскан в соответствии с условиями контрактов и обстоятельствами их исполнения.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«Авто-Сити»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Департамент транспорта города Ростова-на-Дону (подробнее) Ответчики: ООО "Авто-Сити"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