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20.06.2019, оставленным без изменения постановлением Первого арбитражного апелляционного суда от 30.08.2019, заявленное требование удовлетворено. Постановлением Арбитражного суда Волго-Вятского округа от 18.12.2019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Суды признали, что административный орган провел плановую проверку, в ходе которой был выявлен факт административного правонарушения, при отсутствии соответствующих оснований и с нарушением периодичности проведения плановых проверок, что на основании статьи 20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является грубым нарушением порядка организации и проведения проверок, влекущим недействительность результатов проверки. При этом суды исходили из того, что в трехлетний период, предшествовавший проведению проверки, в отношении общества (его филиалов) проводились плановые проверки, общий срок проведения которых превысил 60 дней. Доводы жалобы административного органа противоречат правовой позиции, изложенной в определении Верховного Суда Российской Федерации от 28.02.2020 № 306-ЭС19-19540. Указанные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"Торговый дом "Аскона" (подробнее) Ответчики: Управление Федеральной службы по надзору в сфере защиты прав потребителей и благополучия человека по городу Москве (подробнее) УФС по надзору в сфере защиты прав потребителей и благополучия человека по гю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