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17.06.2019, оставленным без изменения постановлением Первого арбитражного апелляционного суда от 30.08.2019, заявленное требование удовлетворено. Постановлением Арбитражного суда Волго-Вятского округа от 16.12.2019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Суды признали, что административный орган провел плановую проверку, в ходе которой был выявлен факт административного правонарушения, при отсутствии соответствующих оснований и с нарушением периодичности проведения плановых проверок, что на основании статьи 20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является грубым нарушением порядка организации и проведения проверок, влекущим недействительность результатов проверки. При этом суды исходили из того, что в трехлетний период, предшествовавший проведению проверки, в отношении общества (его филиалов) проводились плановые проверки, общий срок проведения которых превысил 60 дней. Доводы жалобы административного органа противоречат правовой позиции, изложенной в определении Верховного Суда Российской Федерации от 28.02.2020 № 306-ЭС19-19540. Указанные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"Торговый дом "Аскона" (подробнее) Ответчики: Управление Федеральной службы по надзору в сфере защиты прав потребителей и благополучия человека по городу Москве (подробнее) УФС по надзору в сфере защиты прав потребителей и благополучия человека по г. 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