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Адыгея от 18.02.2019 иск удовлетворен. Постановлением Пятнадцатого арбитражного апелляционного суда от 12.08.2019 решение отменено, в иске отказано. Постановлением Арбитражного суда Северо-Кавказского округа от 29.10.2019 постановление апелляционного суда отменено, решение оставлено в силе. В кассационной жалобе винзавод просит отменить решение и постановление окружного суда, ссылаясь на неправомерное требование взыскания отсутствующей задолженности вместо убытков.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по итогу исследования и оценки доказательств исполнения договора от 14.10.2015 № 27 установил неоплату винзаводом (покупателем) полученного товара и удовлетворил иск в соответствии со статьями 506 , 516 Гражданского кодекса Российской Федерации. В отсутствие у суда апелляционной инстанции оснований для иных выводов в отношении тех же доказательств окружной суд отменил апелляционное постановление в соответствии с компетенцией, предусмотренной статьями 286 , 287 Арбитражного процессуального кодекса Российской Федерации. Иная оценка винзаводом фактических обстоятельств дела и подлежащих применению норм права не составляет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«Винзавод «Надежда»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"Дебют" (подробнее) Ответчики: ООО "Винзавод Надежда"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