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20.12.2018 разногласия урегулированы. Третий арбитражный апелляционный суд постановлением от 28.06.2019 изменил решение от 20.12.2018 в отношении пунктов 2.2.11, 3.4, 3.5, 3.5.1, 7.5 договора. Арбитражный суд Восточно-Сибирского округа постановлением от 22.10.2019 постановление Третьего арбитражного апелляционного суда от 28.06.2019 оставил без изменения. В кассационной жалобе компания просит об отмене судебных актов в отношении пункта 6.2, касающегося определения цены на услуги по подаче и уборке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в пункте 6.2 договора порядок формирования и изменения цены на оказываемые ответчиком услуги соответствует государственному регулированию цен.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«Енисейская территориальная генерирующая компания (ТГК-13)»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"Енисейская ТГК ТГК-13" (подробнее) АО "ЕНИСЕЙСКАЯ ТЕРРИТОРИАЛЬНАЯ ГЕНЕРИРУЮЩАЯ КОМПАНИЯ ТГК-13" (подробнее) Ответчики: АО "В-Сибпромтранс"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