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Жарова Ирина Владимировна обратилась в суд с заявлением о правопреемстве кредитора – публичного акционерного общества «Промсвязьбанк» на неё в части требования о включении в третью очередь реестра требований кредиторов должника 1 124 550 рублей задолженности, обеспеченной залогом имущества должника. Определением Арбитражного суда города Москвы от 01.07.2019, оставленным без изменения постановлениями Девятого арбитражного апелляционного суда от 05.09.2019 и Арбитражного суда Московского округа от 07.11.2019,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статьёй 48 Арбитражного процессуального кодекса Российской Федерации, статьями 323-325, 365, 382 Гражданского кодекса Российской Федерации, и исходил из обстоятельств исполнения поручителем Жаровой И.В. обязательств должника перед кредитором, что послужило основанием для осуществления процессуальной замены указанного лица в реестре на сумму погашенной задолженности. С указанными выводами впоследствии согласились суды апелляционной инстанции и округа, указав, что сама по себе аффилированность лица, выплатившего долг кредитору, по отношению к должнику не исключает замену кредитора в силу характера правоотношений между должником и первоначальным кредитором, не имеющим возражений против процессуального правопреемства поручителя.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«Кредо» Алешичеву Виктору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