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29.04.2019, оставленным без изменения постановлением Девятого арбитражного апелляционного суда от 03.09.2019 и постановлением Арбитражного суда Московского округа от 26.11.2019,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оспоренное решение принято инспекцией по результатам камеральной налоговой проверки представленного обществом уточненного налогового расчета по авансовому платежу по налогу на имущество организаций за 2 квартал 2017 года. Указанным решением обществу доначислен налог на имущество в сумме 1 182 835 рублей и начислены пени в сумме 16 779 рублей 02 копеек. Основанием для принятия решения послужил вывод налогового органа о неправомерном определении обществом налоговой базы в отношении здания с кадастровым номером 77:04:0001016:5618 исходя из стоимости этого объекта, указанной в Едином государственном реестре недвижимости без учета суммы, равной величине налога на добавленную стоимость (далее - НДС). Отказывая в удовлетворении требования, судебные инстанции, оценив представленные в материалы дела доказательства, руководствуясь положениями пункта 2 статьи 375 , пунктом 15 статьи 378.2 Налогового кодекса Российской Федерации, пришли к выводу о законности решения инспекции с учетом недоказанности обществом наличия правовых оснований для уменьшения кадастровой стоимости объекта, указанной в ЕГРН, при исчислении налоговой базы по налогу на имущество организаций. Суды исходили из того, что установленный законодательством порядок пересмотра результатов определения кадастровой стоимости не предполагает возможность произвольного изменения сведений о кадастровой стоимости, внесенных в государственный реестр, в том числе посредством ее уменьшения на суммы НДС расчетным способом или на основании иных данных. Ссылка общества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налогового спора. Доводы, изложенные в кассационной жалобе, в том числе о необоснованном начислении пени, являлись предметом рассмотрения судов, не свидетельствуют о нарушении судами норм материального и процессуального права, повлиявших на исход дела. Указанные доводы общества по существу основаны на несогласии с выводами судов и неправильном толковании применительно к ним положений законодательства, что не может служить основанием для отмены судебных актов в кассационном порядке. Учитывая изложенное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«Альтаир»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АО "Альтаир" (подробнее) Ответчики: Федеральная налоговая служба России №22 по г. Москве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