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03.03.2019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учитывая своевременное направление первоначальной жалобы (18.02.2019) и основания ее возврата,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«Газпром межрегионгаз»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