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«Юридическая фирма «Либриус» (далее – общество) обратилось в суд с заявлением о включении в реестр требований кредиторов должника 377 394 рублей 18 копеек задолженности и процентов за пользование чужими денежными средствами, в последующем заявив ходатайство о правопреемстве на ФИО2 в связи с уступкой права требования. Определением Арбитражного суда города Москвы от 10.06.2019, оставленным без изменения постановлениями Девятого арбитражного апелляционного суда от 30.08.2019 и Арбитражного суда Московского округа от 29.11.2019, в удовлетворении ходатайства отказано; требование общества признано необоснованным, во включении в реестр 377 394 рублей 18 копеек задолженности и процентов за пользование чужими денежными средствами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382 , 384 , 388 Гражданского кодекса Российской Федерации, исходили из того, что долг погашен должником первоначальному кредитору в отсутствие получения им уведомления о состоявшейся уступке, правоотношение между сторонами прекращено, а у заявителя отсутствует право требования к должнику, в связи с чем правомерно не усмотрели оснований для удовлетворения ходатайства 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России №25 по г. Москве (подробнее) ООО "Витера" (подробнее) ООО "ВИТТЕРА" (подробнее) ООО "ЮРИДИЧЕСКАЯ ФИРМА "ЛИБРИУС" (подробнее) УАБ Вайдана (подробнее) Ответчики: АО "ПРОЕКТ-Н"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