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02.03.2020 направило в Верховный Суд Российской Федерации кассационную жалобу и одновременно заявило ходатайство о восстановлении пропущенного срока, ссылаясь на позднее получение заверенной копии обжалуемого постановления суда округа (23.12.2019).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оснований для его удовлетворения не установлено, поскольку исчисление срока на подачу жалобы с даты получения заверенной копии судебного акта Арбитражным процессуальным кодексом Российской Федерации не предусмотрено. Принимая во внимание, что заявитель являлся инициатором подачи кассационной жалобы в суд округа и обжалуемое постановление опубликовано своевременно (06.12.2019) в общедоступной базе судебных актов, заявитель имел достаточно времени для принятия мер по обращению с настоящей жалобой в установленный законом срок. При этом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названного Кодекса о заверении соответствующим судом прилагаемых к кассационной жалобе копий обжалуемых судебных актов и других судебных актов, принятых по делу, не препятствовало заявителю своевременно обратиться с кассационной жалобой. Согласно статье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При таких обстоятельствах ходатайство о восстановлении пропущенного срока следует оставить без удовлетворения, а кассационную жалобувозвратить заявителю.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ФИО2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Ответчики: Волжское межрегиональное управление государственного автодорожного надзора Федеральной службы по надзору в сфере транспорта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