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включении в реестр требований кредиторов должника задолженности в размере 5 293 058 рублей 62 копейки. Определением Арбитражного суда Свердловской области от 12.06.2019, оставленным без изменения постановлениями Семнадцатого арбитражного апелляционного суда от 30.08.2019 и Арбитражного суда Уральского округа от 22.11.2019,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 признании обоснованными его требований в полном объёме.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актов, доводов кассационной жалобы и поступивших на неё дополнений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статьёй 10 Гражданского кодекса Российской Федерации, статьями 16, 71, 100, 142, 213.24 Федерального закона от 26.10.2002 № 127-ФЗ «О несостоятельности (банкротстве)», исходили из фактических обстоятельств, связанных с наличием экономической взаимосвязи заявителя и должника, выходящей за пределы обычной коммерческой практики участников рынка недвижимости и указывающей на формальный характер сложившихся между сторонами спора отношений, в связи с чем отказали в удовлетворении заявления как предъявленного необоснованно.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«Электростальконструкция»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