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06.06.2019 заявленное требование удовлетворено. Постановлением Десятого арбитражного апелляционного суда от 05.09.2019, оставленным без изменения постановлением Арбитражного суда Московского округа от 20.11.2019, решение суда первой инстанции отменено, в удовлетворении требования общества отказано. В кассационной жалобе, поданной в Верховный Суд Российской Федерации, общество, ссылаясь на существенное нарушение норм права, 2 просит отменить судебные акты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налоговая проверка общества, по результатам составлен акт и принято решение о привлечении к ответственности за совершение налогового правонарушения. Данным решением обществу к уплате в бюджет доначислены налог на прибыль и налог на добавленную стоимость в общей сумме 26 886 543 рублей, начислено 9 768 293 рубля пеней и 6 729 488 рублей штрафа по пункту 3 статьи 122 Налогового кодекса Российской Федерации (далее – Налоговый кодекс). Основанием для доначисления налогов, начисления пеней и штрафа послужил вывод налогового органа о занижении обществом налоговой базы в связи с неправомерным включением в состав расходов затрат по взаимоотношениям с обществами с ограниченной ответственностью «Машторгсервис», «СОЮЗМАШТОРГ», «АРТЭКС», «ЭКОСТРОЙ», «ТРАНСРУСКАПИТАЛ», «СМ-ПРОЕКТ», «МАШКОМПЛЕКТ», «КВИСТЕК», «МЕГАСТРОЙ», «ЕВРОСТРОЙ» (субподрядчики), а также необоснованным применением налоговых вычетов на основании документов, выставленных от имени указанных контрагентов. Считая решение инспекции незаконным, общество обратилось в арбитражный суд. Удовлетворяя заявленное требование, суд первой инстанции исходил из недоказанности налоговым органом направленности действий общества на получение необоснованной налоговой выгоды. Отменяя решение суда, суд апелляционной инстанции, руководствуясь положениями статей 166, 169, 171, 172, 247, 252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доказанности налоговым органом совокупности обстоятельств, свидетельствующих о создании обществом с заявленными контрагентами формального документооборота, направленного на получение из бюджета необоснованной налоговой выгоды в виде 3 неправомерного включения затрат в состав расходов по налогу на прибыль и применения налоговых вычетов по налогу на добавленную стоимость. Судебные инстанции исходили из представления обществом первичных документов, содержащих недостоверные сведения и не подтверждающих реальность хозяйственных операций с заявленными контрагентами, которые не имели возможности выполнить предусмотренные договорами работы, в том числе в связи с отсутствием необходимых трудовых и материальных ресурсов. Вместе с тем суды указали на непредставление обществом документов об извещении или согласовании с заказчиками привлечения субподрядчиков для выполнения спорных работ согласно условиям заключенных контрактов; отсутствие у названных контрагентов лицензий на осуществление работ, связанных с использованием сведений, составляющих государственную тайну; фактическое выполнение работ силами самого общества. Доводы, изложенные в кассационной жалобе, не опровергают выводы судов, не подтверждают существенных нарушений норм материального и процессуального права, повлиявших на исход дела.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При таких обстоятельствах оснований для передачи кассационной жалобы на рассмотрение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«Жуковское монтажное управление «Спецмашмонтаж»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