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27.02.2019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силу части 2 статьи 117 Кодекса арбитражный суд восстанавливает пропущенный процессуальный срок, если признает причины пропуска уважительными. Оценив приведенные обществом причины пропуска процессуального срока, учитывая своевременное направление первоначальной жалобы (14.02.2019) и основания ее возврата, суд признает их уважительными. Поскольку ходатайство о восстановлении пропущенного процессуального срока заявлено в пределах установленного срока, причины пропуска срока признаны судом уважительными, данное ходатайство подлежит удовлетворению на основании части 2 статьи 291.2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«Компания «Стройсервис»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