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Никитин Александр Николаевич обратился в суд с заявлением о включении в реестр требований кредиторов должника 5 424 945 рублей основного долга и процентов по договору займа от 20.04.2015. Определением Арбитражного суда Челябинской области от 27.05.2019, оставленным без изменения постановлениями Восемнадцатого арбитражного апелляционного суда от 19.08.2019 и Арбитражного суда Уральского округа от 03.12.2019,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319, 807-810 Гражданского кодекса Российской Федерации, статьями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реальности возникших между сторонами отношений, фактического предоставления должнику заёмных денежных средств до приобретения Никитиным А.Н. статуса участника должника с целью срочного погашения кредитных обязательств последнего, отсутствия доказательств оспаривания внесения соответствующего взноса в уставной капитал должника его единственным участником, а также погашения задолженности в полном объёме,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«Интервал»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