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(Постоянного судебного присутствия в городе Кудымкаре) от 30.07.2019, оставленным без изменения постановлением Семнадцатого арбитражного апелляционного суда от 18.09.2019, заявление возвращено на основании пункта 2.1 части 1 статьи 129 Арбитражного процессуального кодекса Российской Федерации.. Постановлением Арбитражного суда Уральского округа от 05.11.2019 указанные судебные акты оставлены без изменения. Фонд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Суды пришли к выводу о том, что требование фонда о взыскании финансовых санкций в заявленном размере не подлежит рассмотрению в арбитражном суде, так как не соответствует условиям частей 1 – 3 статьи 48 Налогового кодекса Российской Федерации. При этом суды исходили из того, что требования фонда о взыскании финансовых санкций с организаций и индивидуальных предпринимателей в рассматриваемом случае могут быть рассмотрены арбитражным судом при условии того, что страхователем в установленный срок добровольно не исполнено требование об уплате финансовых санкций, накопленная задолженность страхователя по финансовым санкциям превысила 3 000 рублей, при этом отсутствуют основания для обращения в арбитражный суд с заявлением о выдаче судебного приказа. Выводы судов соответствуют правовой позиции, изложенной в Обзоре судебной практики Верховного Суда Российской Федерации № 2 (2019), утв. Президиумом Верховного Суда РФ 17.07.2019 (ответ на вопрос № 1 в Разъяснениях по вопросам, возникающим в судебной практике).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Управление Пенсионного Фонда Российской Федерации в г. Кудымкаре Пермского края межрайонное (подробнее) Ответчики: ООО "ИнвестГолденФорест"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