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02.08.2019, оставленным без изменения постановлением Семнадцатого арбитражного апелляционного суда от 23.09.2019, заявление возвращено на основании пункта 2.1 части 1 статьи 129 Арбитражного процессуального кодекса Российской Федерации. Постановлением Арбитражного суда Уральского округа от 07.11.2019 указанные судебные акты оставлены без изменения. Фонд обратился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Суды пришли к выводу о том, что требование фонда о взыскании финансовых санкций в заявленном размере не подлежит рассмотрению в арбитражном суде, так как не соответствует условиям пунктов 1 – 3 статьи 48 Налогового кодекса Российской Федерации. При этом суды исходили из того, что требования фонда о взыскании финансовых санкций с организаций и индивидуальных предпринимателей в рассматриваемом случае могут быть рассмотрены арбитражным судом при условии того, что страхователем в установленный срок добровольно не исполнено требование об уплате финансовых санкций, накопленная задолженность страхователя по финансовым санкциям превысила 3 000 рублей, при этом отсутствуют основания для обращения в арбитражный суд с заявлением о выдаче судебного приказа. Выводы судов соответствуют правовой позиции, изложенной в Обзоре судебной практики Верховного Суда Российской Федерации № 2 (2019), утв. Президиумом Верховного Суда РФ 17.07.2019 (ответ на вопрос № 1 в Разъяснениях по вопросам, возникающим в судебной практике). Приведенные в жалобе доводы были предметом рассмотрения судов трех инстанций и получили исчерпывающую правовую оценку применительно к установленным обстоятельствам.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 УПРАВЛЕНИЕ ПЕНСИОННОГО ФОНДА РОССИЙСКОЙ ФЕДЕРАЦИИ В Г. ЧУСОВОМ ПЕРМСКОГО КРАЯ (подробнее) Ответчики: ООО "УПРАВЛЯЮЩАЯ КОМПАНИЯ "А-СЕРВИС"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