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14.08.2019, оставленным без изменения постановлением Семнадцатого арбитражного апелляционного суда от 23.09.2019, заявление возвращено на основании пункта 2.1 части 1 статьи 129 Арбитражного процессуального кодекса Российской Федерации. Постановлением Арбитражного суда Уральского округа от 08.11.2019 указанные судебные акты оставлены без изменения.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Суды пришли к выводу о том, что требование фонда о взыскании финансовых санкций в заявленном размере не подлежит рассмотрению в арбитражном суде, так как не соответствует условиям частей 1 – 3 статьи 48 Налогового кодекса Российской Федерации. При этом суды исходили из того, что требования фонда о взыскании финансовых санкций с организаций и индивидуальных предпринимателей в рассматриваемом случае могут быть рассмотрены арбитражным судом при условии того, что страхователем в установленный срок добровольно не исполнено требование об уплате финансовых санкций, накопленная задолженность страхователя по финансовым санкциям превысила 3 000 рублей, при этом отсутствуют основания для обращения в арбитражный суд с заявлением о выдаче судебного приказа. Выводы судов соответствуют правовой позиции, изложенной в Обзоре судебной практики Верховного Суда Российской Федерации № 2 (2019), утв. Президиумом Верховного Суда РФ 17.07.2019 (ответ на вопрос № 1 в Разъяснениях по вопросам, возникающим в судебной практике).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УПРАВЛЕНИЕ ПЕНСИОННОГО ФОНДА РОССИЙСКОЙ ФЕДЕРАЦИИ В Г. ЧУСОВОМ ПЕРМСКОГО КРАЯ (подробнее) Ответчики: ООО "УПРАВЛЯЮЩАЯ КОМПАНИЯ "НИКА"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