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12.03.2019 иск удовлетворен. Постановлением Девятого арбитражного апелляционного суда от 07.07.2019 решение суда первой инстанции отменено, в удовлетворении иска отказано. Постановлением Арбитражного суда Московского округа от 29.10.2019 постановление суда апелляционной инстанции оставлено без изменения. В кассационной жалобе, поданной в Верховный Суд Российской Федерации, предприятие, ссылаясь на нарушение судами апелляционной инстанции и округа норм материального и процессуального права, несоответствие их выводов фактическим обстоятельствам дела, просит отменить постановления от 07.07.2019, от 29.10.2019 и оставить в силе решение суда первой инстанции от 12.03.2019.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повторно оценив по правилам статьи 71 Арбитражного процессуального кодекса Российской Федерации представленные в материалы дела доказательства и руководствуясь статьями 401, 405, 406, 743 Гражданского кодекса Российской Федерации, исходил из того, что общество было лишено возможности выполнить работы в установленный договором срок в связи с неисполнением предприятием встречных обязательств, что исключает возможность привлечения ответчика к гражданско-правовой ответственности в виде взыскания неустойки.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«Главное военно-строительное управление № 15»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