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12.04.2019, оставленным без изменения постановлением Девятнадцатого арбитражного апелляционного суда от 25.07.2019 и постановлением Арбитражного суда Центрального округа от 28.10.2019,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статей 65 , 71 Арбитражного процессуального кодекса Российской Федерации представленные в материалы дела доказательства, установив, что ответчиком допущены нарушения условий контракта в части использования при выполнении работ материалов (дверных блоков), параметры и характеристики которых не соответствуют предусмотренным в локальном сметном расчете к контракту, а также в части сроков выполнения работ по контракту, руководствуясь положениями статей 309 , 310 , 330 , 702 , 708 , 709 , 720 , 721 , 723 , 724 , 743 , 753 , 754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фирма «Коммунальщик»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ОБУССОКО "ПАНСИОНАТ "СОСНОВЫЙ БОР" (подробнее) Ответчики: ООО фирма "Коммунальщик" (подробнее) Иные лица: Инспекция Федеральной налоговой службы России по г. Курску (подробнее) ООО "ПромСервисТехКомплект"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