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08.05.2019, оставленным без изменения постановлением Десятого арбитражного апелляционного суда от 23.07.2019 и постановлением Арбитражного суда Московского округа от 08.11.2019,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Разрешая спор, суды первой и апелляционной инстанций, оценив представленные в материалы дела доказательства по правилам статей 65 , 71 Арбитражного процессуального кодекса Российской Федерации и руководствуясь статьями 702 , 711 , 721 , 722 , 723 , 724 , 773 , 774 , 776 Гражданского кодекса Российской Федерации, пришли к выводу об отсутствии оснований для удовлетворения исковых требований, поскольку обществом (подрядчиком) не выполнены работы по третьему этапу, результат работ не передан бюро (заказчику), факт уклонения последнего от исполнения обязанностей по оказанию необходимого содействия не доказан. С указанным выводом впоследствии согласился суд округа. Доводы кассационной жалобы являлись предметом рассмотрения судебных инстанций, получили правовую оценку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«Авионика вертолетов»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