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08.04.2019 в удовлетворении исковых требований отказано. Постановлением Девятого арбитражного апелляционного суда от 01.08.2019 решение суда первой инстанции отменено, с общества в пользу предпринимателя взыскано 441 500 руб. неотработанного аванса, 4823 руб. 25 коп. процентов за пользование чужими денежными средствами, 11 188 руб. расходов по уплате государственной пошлины по иску, 2261 руб. расходов по уплате государственной пошлины по апелляционной жалобе, 37 685 руб. расходов на оплату услуг представителя, в удовлетворении остальной части исковых требований отказано. Постановлением Арбитражного суда Московского округа от 13.11.2019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направить дело на новое рассмотрение в Девятый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суд апелляционной инстанции установил, что договор между сторонами не заключен, доказательств использования обществом перечисленных предпринимателем денежных средств в интересах последнего не представлено. При таких обстоятельствах, руководствуясь статьями 432 , 711 , 740 , 746 , 753 , 1102 , 1107 Гражданского кодекса Российской Федерации, учитывая частичный возврат ответчиком полученных денежных средств, суд пришел к выводу о наличии оснований для взыскания с общества неосновательного обогащения и процентов за пользование чужими денежными средствами, с чем впоследствии согласился суд округа. Довод заявителя о необоснованном отказе суда апелляционной инстанции в приобщении к материалам дела дополнительных доказательств подлежит отклонению, поскольку такие доказательства предоставляются с соблюдением требований, установленных частью 2 статьи 268 Арбитражного процессуального кодекса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«СК СТРАТЕГИЯ»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"СК Стратегия"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