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08.04.2019, оставленным без изменения постановлением Десятого арбитражного апелляционного суда от 11.07.2019 и постановлением Арбитражного суда Московского округа от 31.10.2019,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установлено судами, общество (субподрядчик) и компания (генподрядчик) 10.11.2017 заключили договор субподряда № 14/882-3-17 (далее – договор). Ссылаясь на выполнение в рамках договора дополнительных работ и отсутствие их оплаты со стороны компании, общество обратилось в арбитражный суд с настоящим иском. Оценив и исследовав по правилам статьи 71 Арбитражного процессуального кодекса Российской Федерации представленные в материалы дела доказательства, установив, что спорные работы не входили в предмет договора и не были включены в его смету, их выполнение не согласовано с генподрядчиком в предусмотренном договором порядке, руководствуясь статьями 424 , 431 , 709 , 740 , 743 , 746 Гражданского кодекса Российской Федерации, суды первой и апелляционной инстанций пришли к выводу об отсутствии у компании обязанности по оплате этих работ и отказали в удовлетворении иска. С указанными выводами впоследствии согласился суд округа. Доводы кассационной жалобы были предметом рассмотрения судов и получили правовую оценку. Доводы, которые бы свидетельствовали о наличии в обжалуемых судебных актах существенных нарушений норм материального и процессуального права, повлиявших на исход дела, не приведены, в связи с чем основания для передачи жалобы для рассмотрения в судебном заседании отсутствуют.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«ПРОМРЕСУРС-777»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"ПРОМРЕСУРС-777" (подробнее) Ответчики: АО "Промэлектромонтаж-СТН" (подробнее) Судьи дела: Чучунова Н.С.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