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«ЕСГ ЭКСПО» (далее – общество) обратилось в Арбитражный суд города Москвы с иском к HESZO KFТ (далее – компания) о взыскании 126 670 евро аванса по договору от 20.03.2017, 38 000 евро штрафа, начисленного в соответствии с пунктом 5.8 договора, 50 668 евро штрафа, начисленного в соответствии с пунктом 5.7 договора, 63 335 евро штрафа, начисленного в соответствии с пунктом 5.6 договора, 7859 евро процентов за пользование чужими денежными средствами. Решением Арбитражного суда города Москвы от 13.06.2018 в удовлетворении исковых требований отказано.Постановлением Девятого арбитражного апелляционного суда от 24.09.2018 решение суда первой инстанции отменено в части отказа во взыскании штрафа, начисленного в соответствии с пунктом 5.6 договора, с компании в пользу общества взыскано 63 335 евро штрафа, в остальной части решение суда оставлено без изменения. Постановлением Арбитражного суда Московского округа от 24.12.2018 решение суда первой инстанции и постановление суда апелляционной инстанции отменены в части требований общества о взыскании штрафов, дело в указанной части направлено на новое рассмотрение в Арбитражный суд города Москвы, в остальной части судебные акты оставлены без изменения. Принятым при новом рассмотрении дела решением Арбитражного суда города Москвы от 10.06.2019, оставленным без изменения постановлением Девятого арбитражного апелляционного суда от 08.08.2019 и постановлением Арбитражного суда Московского округа от 30.10.2019, с компании в пользу общества взыскано 50 668 евро штрафа, начисленного в соответствии с пунктом 5.7 договора,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отказа в удовлетворении его требований о взыскании штрафов и принять в этой части новый судебный акт об их удовлетворении.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330 Гражданского кодекса Российской Федерации, суды не установили оснований для взыскания штрафов, начисленных в соответствии с пунктами 5.6, 5.8 договора, в связи с чем сочли заявленные обществом требования в указанной части не подлежащими удовлетворению, с чем впоследствии согласился суд округа. Доводы заявителя о нарушении ответчиком условий договора и наличии оснований для взыскания штрафов по существу направлены на переоценку установленных судами фактических обстоятельств, что не входит в полномочия Верховного Суда Российской Федерации. Поскольку существенных нарушений норм материального и процессуального права, повлиявших на исход дела, указанные в жалобе доводы не подтверждают,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«ЕСГ ЭКСПО»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"ЕСГ ЭКСПО" (подробнее) Ответчики: HESZO KFT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