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16.10.2017, оставленным без изменения постановлением Восемнадцатого арбитражного апелляционного суда от 16.08.2019 и постановлением Арбитражного суда Уральского округа от 22.11.2019, в удовлетворении первоначальных исковых требований отказано, встречный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Челябинской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подряда от 28.12.2015 № 4600015839, а также обстоятельства его исполнения сторонами, руководствуясь положениями статей 309 , 310 , 723 , 779 , 781 Гражданского кодекса Российской Федерации, Федерального закона от 24.06.1998 № 89-ФЗ «Об отходах производства и потребления», суды первой и апелляционной инстанций, с которыми впоследствии согласился суд округа, пришли к выводу об отсутствии оснований для удовлетворения первоначальных исковых требований и правомерности встречного иска. Выводы судов подробно мотивированы,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«Экология-Пром»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"Бакальское рудоуправление" (подробнее) ООО "Экология-Пром" (подробнее) Ответчики: АО "Комбинат "Магнезит" (подробнее) Иные лица: представитель Крисько Дмитрий Сергеевич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