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Бурятия от 25.01.2019, оставленным без изменения постановлением Четвертого арбитражного апелляционного суда от 16.08.2019, иск удовлетворен. Арбитражный суд Восточно-Сибирского округа постановлением от 03.12.2019 решение от 25.01.2019 и постановление Четвертого арбитражного апелляционного суда от 16.08.2019 оставил без изменения. В кассационной жалобе общество «Росгосстрах» просит об отмене судебных актов как незаконных вследствие несоответствия выводов судов об условиях страхования и размере страхового возмещения фактическим обстоятельствам дела и представленным доказательствам.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Судами установлено, что страховые полисы серии 4000 № 6026724 и серии 7200 № 0545213 выданы на основании договора страхования залогового имущества от 04.02.2016 № 1, который содержит определения используемых в целях страхования понятий и действие которого не прерывалось в период между указанными в полисах периодами их действия. Наименование и объем поврежденного вследствие страхового случая имущества установлены судами применительно к договору, что опровергает заявленные обществом «Росгосстрах» об обратном доводы.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«Страховая компания «Росгосстрах»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РОССИЙСКИЙ СЕЛЬСКОХОЗЯЙСТВЕННЫЙ БАНК (подробнее) Ответчики: ПАО Российская государственная страховая компания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