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31.05.2019 с компании в пользу общества взысканы денежные средства в размере 3 093 390 руб., расходы на проведение экспертизы в размере 63 502 руб. 02 коп., расходы по оплате государственной пошлины в размере 38 466 руб. 95 коп., в удовлетворении остальной части исковых требований отказано. Постановлением Девятого арбитражного апелляционного суда от 10.09.2019 решение суда первой инстанции отменено в части отказа в удовлетворении требований о взыскании убытков, с компании в пользу управления взыскано 6 276 919 руб. 10 коп. убытков, 31 385 руб. 05 коп. расходов по уплате государственной пошлины по иску, 3000 руб. расходов по уплате государственной пошлины по апелляционной жалобе, в остальной части решение суда оставлено без изменения. Постановлением Арбитражного суда Московского округа от 20.11.2019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несоответствие выводов судов апелляционной инстанции и округа фактическим обстоятельствам дела, просит отменить их постановления и оставить в силе решение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393 Гражданского кодекса Российской Федерации, установив, что в результате поставки ответчиком товара (фасадных плит) ненадлежащего качества истцом понесены расходы, связанные с выполнением работ по демонтажу и установке материала соответствующего качества, размер которых подтвержден, суд апелляционной инстанции пришел к выводу о наличии оснований для взыскания с компании убытков, с чем впоследствии согласился суд округа. Доводы заявителя о непринятии истцом мер по проведению входного контроля являлись предметом рассмотрения судов апелляционной инстанции и округа и получили правовую оценку.Доводы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о приостановлении исполнения обжалуемых судебных актов не подлежит рассмотрению.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«Лато»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ГРУППА КОМПАНИЙ "СТРОИТЕЛЬНОЕ УПРАВЛЕНИЕ-555" (подробнее) Ответчики: ООО "КОНСТРУКЦИЯ БИЗНЕСА" (подробнее) Иные лица: АНО "Многопрофильное Судебно-экспертное бюро" (подробнее) АНО "московский центр экспертизы и оценки"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