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26.04.2019, оставленным без изменения постановлением Девятого арбитражного апелляционного суда от 16.07.2019, иск удовлетворен. Арбитражный суд Московского округа постановлением от 30.10.2019 решение от 26.04.2019 и постановление Девятого арбитражного апелляционного суда от 16.07.2019 оставил без изменения. В кассационной жалобе общество «Транскон Экспресс» просит об отмене судебных актов, ссылаясь на нарушение норм процессуального права при исследовании и оценке представленных истцом доказательств, нерассмотрение вопроса о соблюдении претензионного порядка.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ответственность общества «Транскон Экспресс» за вверенный груз перед лицом, которому истец возместил убытки в связи с утратой груза, возникает из договора транспортной экспедиции от 08.12.2014 № 08/12. Общество, являясь в силу договора экспедитором-перевозчиком, в соответствии со статей 803 Гражданского кодекса Российской Федерации и статьей 7 Федерального закона от 30.06.2003 № 87-ФЗ «О транспортно- экспедиционной деятельности» правомерно призвано к ответственности за утрату груза. Претензионный порядок урегулирования спора признан судами соблюденным. Вопросы доказывания и оценки доказательств, затронутые в жалобе, не составляют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«Транскон Экспресс»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"Страховая акционерная компания "ЭНЕРГОГАРАНТ" (подробнее) Ответчики: ООО "Транскон Экспресс"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