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30.04.2019, оставленным без изменения постановлением Девятнадцатого арбитражного апелляционного суда от 02.08.2019, иск удовлетворен. Арбитражный суд Центрального округа постановлением от 28.10.2019 решение от 30.04.2019 и постановление Девятнадцатого арбитражного апелляционного суда от 02.08.2019 оставил без изменения. В кассационной жалобе предприятие просит об отмене судебных актов, ссылаясь на отсутствие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повреждение транспортного средства истца произошло в связи с неудовлетворительным состоянием автомобильной дороги, обязанность по содержанию которой возложена на предприятие. Обстоятельства возникновения вреда и наличие условий, необходимых в силу статей 15 , 1064 Гражданского кодекса Российской Федерации для взыскания убытков вследствие его причинения, установлены судами в соответствии с компетенцией.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«Автодор»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МУП "Автодор" (подробнее) Иные лица: Инспектор Огибдд Омвд России по г. Губкину Клевцов Юрий Леонидович (подробнее) ОВДПС ГИБДД ОМВД России по г. Губкину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