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23.05.2019, оставленным без изменения постановлением Первого арбитражного апелляционного суда от 01.08.2019 и постановлением Арбитражного суда Волго-Вятского округа от 15.11.2019,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требование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обратилось в антимонопольный орган с жалобой на положения извещения о проведении запроса котировок на техническое обслуживание системы передачи извещений о пожаре «Стрелец-Мониторинг», опубликованного учреждением. По мнению общества, в запросе ценового предложения неправомерно отсутствуют требования о проведении обязательных работ по круглосуточному мониторингу, а также об обязательном наличии центра технического мониторинга у обслуживающей организации либо о наличии заключенного договора с собственником пультового и ретрансляционного оборудования. Также заявитель ссылался на то, что предусмотренное пунктом 4.2.4 проекта контракта право исполнителя передать выполнение работ по техническому обслуживанию третьим лицам является переменой исполнителя по контракту, что не допускается требованиями гражданского законодательства 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Решением управления жалоба признана необоснованной и требование о приостановлении процедуры закупки отменено, что послужило основанием для обращения общества в арбитражный суд. Оценив представленные в материалы дела доказательства, суды, руководствуясь положениями статей 33, 42, 73 Закона о контрактной системе, статей 706 , 783 Гражданского кодекса Российской Федерации, статьи 24 Федерального закона от 21.12.1994 № 69-ФЗ «О пожарной безопасности», ГОСТ Р 56935-2016 «Производственные услуги. Услуги по построению системы мониторинга автоматических систем противопожарной защиты и вывода сигналов на пульт централизованного наблюдения «01» и «112», утвержденного приказом Росстата от 31.05.2016 № 447-ст, пришли к выводу о законности оспоренного решения. Судебные инстанции исходили из того, что извещение о проведении запроса котировок, в том числе техническое задание, а также проект контракта содержат необходимые сведения относительно объекта закупки, соответствующие требованиям государственного стандарта и Руководства по эксплуатации объектовой станции ПАК «Стрелец-мониторинг». Суды указали, что требование об обязательном наличии у участника закупки центра технического мониторинга либо заключенного договора с собственником пультового и ретрансляционного оборудования является не предусмотренным законодательством дополнительным требованием, которое может быть включено в документацию о закупке по усмотрению заказчика. При этом предусмотренная проектом контракта возможность исполнителя передать выполнение работ по техническому обслуживанию третьим лицам (субподрядчику или принципалу) не свидетельствует о переуступке или перемене исполнителя по контракту и не противоречит требованиям законодательства. Кроме того, исполнение контракта, заключенного по итогам запроса котировок, не входит в предмет рассмотрения решения антимонопольного органа, принятого по результатам проверки законности документации о закупке. Ссылка общества на судебные акты по другим делам, в том числе определение Верховного Суда Российской Федерации от 18.05.2017 № 306-КГ17-3454, подлежит отклонению, поскольку, вопреки позиции заявителя, выводы о наличии у заказчика обязанности по включению в документацию спорных условий в них не содержатся. Доводы, изложенные в кассационной жалобе, повторяют позицию общества по спору, являлись предметом рассмотрения судов и получили правовую оценку с учетом установленных обстоятельств дела. Несогласие заявителя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«Служба пожарного мониторинга»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Служба пожарного мониторинга (подробнее) Ответчики: УФАС по респ. Марий Эл (подробнее) УФАС по РМЭ (подробнее) Иные лица: Управление Федеральной антимонопольной службы по Республике Марий Эл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