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12.07.2019, оставленным без изменения постановлением Девятого арбитражного апелляционного суда от 11.09.2019 и постановлением Арбитражного суда Московского округа от 10.12.2019, в удовлетворении иска отказано. В кассационной жалобе общество «МетОгнеупор» просит о пересмотре судебных актов как противоречащих фактическим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Мотивы, по которым отклонены представленные истцом доказательства и приняты возражения ответчика, изложены судами и соответствуют условиям договора от 13.10.2017 № 13/10-17-01 и обстоятельствам его исполнения.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«МетОгнеупор»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"МетОгнеупор" (подробнее) Ответчики: АО ВИТЕЛЛ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