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14.04.2019, оставленным без изменения постановлением Второго арбитражного апелляционного суда от 11.06.2019, иск удовлетворен. Арбитражный суд Волго-Вятского округа постановлением от 08.11.2019 решение от 14.04.2019 и постановление Второго арбитражного апелляционного суда от 11.06.2019 оставил без изменения. В кассационной общество просит об отмене судебных актов, ссылаясь на игнорирование судами доводов об отсутствии у него спорной продукции в натуре и неисполнимости принятого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Исполнимость решения находится в сфере интересов истца, поэтому в качестве довода ответчика не является основанием для пересмотра судебных актов. Суды установили получение обществом (хранителем) в рамках договора хранения от 24.04.2017 № 01 имущества от завода (поклажедателя) и невыполнение хранителем обязательства по возврату части имущества, поэтому выводы судов соответствуют обстоятельствам правоотношений сторон и нормам статей 886, 890, 900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«ПТМ Гидравлика»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