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06.06.2019, оставленным без изменения постановлением Восемнадцатого арбитражного апелляционного суда от 12.09.2019 и постановлением Арбитражного суда Уральского округа от 02.12.2019, в удовлетворении заявленного требования отказано.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проведена плановая выездная проверка соблюдения министерством условий предоставления и использования средств из федерального бюджета в рамках подпрограммы «Развитие малого и среднего предпринимательства» государственной программы Российской Федерации «Экономическое развитие и инновационная экономика» за 2017 год. В ходе проверки выявлены нарушения бюджетного законодательства, иных нормативных правовых актов, регулирующих бюджетные правоотношения, а также условий договоров (соглашений) о предоставлении средств из бюджета, государственных (муниципальных) контрактов, целей, порядка и условий предоставления кредитов и займов, обеспеченных государственными и муниципальными гарантиями, целей, порядка и условий размещения средств бюджета и ценные бумаги объектов контроля. Данные обстоятельства послужили основанием для выдачи предписания, которым на министерство возложена обязанность возместить причиненный указанными нарушениями ущерб Российской Федерации в сумме 74 432 600 рублей. Считая предписание незаконным, министерство обратилось в арбитражный суд. Оценив представленные в материалы дела доказательства, суды, руководствуясь положениями статей 78 , 78.1 , 179 , 242 Бюджетного кодекса Российской Федерации, принимая во внимание Порядок определения объёма и предоставления в 2017 году субсидии в виде имущественного взноса Фонду «Центр микрофинансирования Челябинской области», утвержденный постановлением Правительства Челябинской области от 21.09.2017 № 517-П, и условия договора предоставления субсидии, пришли к выводу о наличии у управления правовых оснований для выдачи предписания. Судебные инстанции исходили из того, что денежные средства бюджетов предоставлены фонду с нарушением порядка и условий предоставления субсидий (в отсутствие необходимых документов и с неприемлемыми значениями показателей результативности использования субсидии – целевых показателей). При этом фонд, являясь посредником между бюджетом и конечными получателями государственной поддержки в виде микрозаймов, не принял мер, направленных на осуществление мероприятий, указанных в договоре, и не доказал эффективное целевое освоение выделенных средств в рамках соответствующей подпрограммы государственной программы поддержки предпринимательства. Вопреки позиции министерства, ссылка суда первой инстанции на пункт 1 статьи 270.2 Бюджетного кодекса Российской Федерации, утративший законную силу до вынесения оспоренного предписания, не привела к принятию неправильного решения по существу рассматриваемого спора. Доводы, изложенные в кассационной жалобе, в том числе об отсутствии оснований для возврата субсидии, являлись предметом рассмотрения судов и получили правовую оценку. Приведенные доводы не опровергают выводы судов, не свидетельствуют о существенных нарушениях норм материального и норм процессуального права, которые повлияли на исход дела, и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экономического развития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Министерство экономического развития Челябинской области (подробнее) ФОНД РАЗВИТИЯ ПРЕДПРИНИМАТЕЛЬСТВА ЧЕЛЯБИНСКОЙ ОБЛАСТИ - ТЕРРИТОРИЯ БИЗНЕСА (подробнее) Фонд финансирования промышленности и предпринимательства Челябинской области - Территория бизнеса микрокредитная компания (подробнее) Ответчики: Управление Федерального казначейства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