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28.02.2019, оставленным без изменения постановлением Третьего арбитражного апелляционного суда от 14.06.2019 и постановлением Арбитражного суда Восточно-Сибирского округа от 31.10.2019, производство по требованию о признании недействительным акта проверки прекращено; требование о признании предписания недействительным удовлетворено в части пунктов 2-5; в удовлетворении остальной части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о признании недействительным пункта 1 предписания и удовлетворить заявление в данной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 в обжалуемой части, суды установили, что в пункте 1 предписания управление указало на нарушение пункта 9 статьи 13 Федерального закона от 21.07.1997 № 116-ФЗ «О промышленной безопасности опасных производственных объектов», пункта 194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Федеральной службы по экологическому, технологическому и атомному надзору от 12.11.2013 № 533, пунктов 11, 21 Федеральных норм и правил в области промышленной безопасности «Правила проведения экспертизы промышленной безопасности» утвержденных приказом Федеральной службы по экологическому, технологическому и атомному надзору от 14.11.2013 № 538, что выразилось в указании в пункте 9.1 заключения экспертизы промышленной безопасности на продление срока безопасной эксплуатации технического устройства кран мостовой электрический зав. № 1359 рег. № 27445 до ноября 2019 года при выявленных и не устраненных недопустимых дефектах. Признавая предписание управления в указанной части законным, суды, оценив представленные в материалы дела доказательства, учитывая отраженные в ведомости дефектов (приложение № 5) нарушения приборов (устройств) безопасности, влекущие создание угрозы жизни и здоровью обслуживающего персонала крана при ведении работ по обслуживанию и эксплуатации подъемного сооружения, пришли к выводу о доказанности обстоятельств, свидетельствующих о нарушении требований действующего законодательства при составлении заключения экспертизы промышленной безопасности на техническое устройство кран мостовой электрический и продлении срока безопасной эксплуатации до ноября 2019 года. Доводы, изложенные в кассационной жалобе, в том числе о нарушении управлением процедуры проведения проверки и выдачи предписания, а также его неисполнимости, являлись предметом рассмотрения судов и получили правовую оценку с учетом установленных обстоятельств дела. Несогласие заявителя кассационной жалобы с выводами судов, иная оценка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инженерно-консультативный центр «Кран-Парк»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"Региональный инженерно-консультативный центр "Кран-Парк" (подробнее) Ответчики: Енисейское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