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20.05.2019, оставленным без изменения постановлением Семнадцатого арбитражного апелляционного суда от 08.08.2019 и постановлением Арбитражного суда Уральского округа от 29.11.2019, иск удовлетворен.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руководствовались статьями 789 , 781 , 1102 Гражданского кодекса Российской Федерации и исходили из доказанности наличия на стороне предпринимателя неосновательного обогащения и обязанности по его возврату обществу. Выводы судов подробно мотивированы,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суда, не подтверждают существенных нарушений норм материального и процессуального права, повлиявших на исход дела,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"Баженов Групп" (подробнее) Ответчики: ИП Шмаков Олег Андреевич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