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29.03.2019 в удовлетворении иска отказано. Постановлением Семнадцатого арбитражного апелляционного суда от 29.07.2019, оставленным без изменения постановлением Арбитражного суда Уральского округа от 29.10.2019, решение отменено, исковые требования удовлетворены частично. В кассационной жалобе общество просит об отмене постановлений апелляционного и окружного судов, ссылаясь на неправильное применение последствий нарушения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исследовал обстоятельства исполнения сторонами договора взаимной уступки прав требований от 24.07.2015 и установил получение обществом от предпринимателя исполнения в отсутствие встречного предоставления, поэтому удовлетворил иск в соответствии со статьей 1102 Гражданского кодекса Российской Федерации. Доводы общества о нарушении баланса интересов сторон и применении неправильных последствий нарушения договора являются неосновательными в силу состоявшегося в судебном порядке расторжения договора в связи с неисполнением его обществом и установление в рамках рассматриваемого дела невозможности реализации предпринимателем перешедших прав.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«Эльдорадо»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Ответчики: ООО ЭЛЬДОРАДО (подробнее) Судьи дела: Ксенофонтова Н.А.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