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29.04.2019 первоначальный иск удовлетворен, встречный иск возвращен. Определением от 29.07.2019 Девятый арбитражный апелляционный суд перешел к рассмотрению дела по правилам, установленным для рассмотрения дела в суде первой инстанции, принял к совместному рассмотрению с первоначальным встречное исковое заявление. Постановлением Девятого арбитражного апелляционного суда от 23.08.2019, оставленным без изменения постановлением Арбитражного суда Московского округа от 12.11.2019, решение отменено. Первоначальный и встречный иски удовлетворены на 130 000 рублей. В кассационной жалобе общество «Проф-Логистика» просит об отмене судебных актов апелляционного и окружного судов вследствие отсутствия условия для уменьшения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уменьшил требуемые в первоначальном иске убытки до размера провозной платы исходя из обстоятельств исполнения перевозки и поведения сторон. Указанные обстоятельства не переоцениваются на стадии кассационного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«Проф-Логистика»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"Проф-Логистика" (подробнее) Ответчики: ООО "ТГЛ-ТРАНС"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