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«Промсвязьбанк» (далее – банк) обратилось в суд с заявлением о включении в реестр требований кредиторов задолженности в размере 6 336 451 507 рублей 88 копеек. Определением Арбитражного суда города Москвы от 08.10.2019, оставленным без изменения постановлением Девятого арбитражного апелляционного суда от 06.11.2019, заявление банка оставлено без рассмотрения. Постановлением Арбитражного суда Московского округа от 23.12.2019 вышеуказанные судебные акты отменены, обособленный спор направлен на рассмотрение по существу в Арбитражный суд города Москвы. В кассационных жалобах, поданных в Верховный Суд Российской Федерации, заявители просят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обособленный спор на рассмотрение по существу, суд округа, руководствуясь статьями 16, 69 Арбитражного процессуального кодекса Российской Федерации, пунктом 10 статьи 16 Федерального закона от 26.10.2002 № 127-ФЗ «О несостоятельности (банкротстве)», пунктом 16 статьи 29.1 Федерального закона от 22.04.1996 № 39-ФЗ «О рынке ценных бумаг», исходил из того, что судами допущено неправильное применение норм процессуального и материального права, не учтены ранее установленные обстоятельства иного обособленного спора при рассмотрении заявления банка о включении его требований в реестр.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заявители не лишены возможности изложить свои доводы со ссылками на нормы права и имеющиеся в деле доказательства, поскольку обособленный спор направлен судом округа на рассмотрение по существу, а вопрос об удовлетворении либо отказе в удовлетворении заявления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«Синум групп» и конкурсному управляющему обществом с ограниченной ответственностью «ПСН Проперти Менеджмент» Проровскому Михаилу Анатольевичу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