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11.06.2019, оставленным без изменения постановлением Одиннадцатого арбитражного апелляционного суда от 26.08.2019, первоначальный и встречный иски удовлетворены на 55 000 рублей и обязательства прекращены зачетом взысканных сумм. Арбитражный суд Поволжского округа постановлением от 06.12.2019 решение от 11.06.2019 и постановление Одиннадцатого арбитражного апелляционного суда от 26.08.2019 оставил без изменения. В кассационной жалобе общество просит об отмене судебных актов, ссылаясь на незаконное ограничение ответственности за ненадлежащее исполнение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ответственность за нарушение срока доставки груза согласована сторонами в договоре от 24.07.2018 № 24-1-07-18 посредством отсылки к Уставу автомобильного транспорта и городского наземного электрического транспорта. Заявленная сумма уплачена обществом контрагенту вследствие нарушения предпринимателем срока доставки груза и применительно к отношениям сторон также является ответственностью за ненадлежащее исполнение обязательства вследствие нарушения срока доставки груза, поэтому правомерно применена судами в пределах, установленных договором сторон.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«Проф-Логистика»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"Проф-Логистика" (подробнее) Ответчики: ИП Матяш Игорь Иванович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